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DE" w:rsidRDefault="00165521" w:rsidP="009730A8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38200" cy="971550"/>
            <wp:effectExtent l="0" t="0" r="0" b="0"/>
            <wp:docPr id="1" name="Image 1" descr="Logo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l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451">
        <w:rPr>
          <w:b/>
          <w:sz w:val="28"/>
          <w:szCs w:val="28"/>
        </w:rPr>
        <w:tab/>
      </w:r>
      <w:r w:rsidR="00542451">
        <w:rPr>
          <w:b/>
          <w:sz w:val="28"/>
          <w:szCs w:val="28"/>
        </w:rPr>
        <w:tab/>
      </w:r>
      <w:r w:rsidR="00542451">
        <w:rPr>
          <w:b/>
          <w:sz w:val="28"/>
          <w:szCs w:val="28"/>
        </w:rPr>
        <w:tab/>
      </w:r>
      <w:r w:rsidR="00542451">
        <w:rPr>
          <w:b/>
          <w:sz w:val="28"/>
          <w:szCs w:val="28"/>
        </w:rPr>
        <w:tab/>
      </w:r>
      <w:r w:rsidR="00542451">
        <w:rPr>
          <w:b/>
          <w:sz w:val="28"/>
          <w:szCs w:val="28"/>
        </w:rPr>
        <w:tab/>
      </w:r>
      <w:r w:rsidR="00542451">
        <w:rPr>
          <w:b/>
          <w:sz w:val="28"/>
          <w:szCs w:val="28"/>
        </w:rPr>
        <w:tab/>
      </w:r>
      <w:r w:rsidR="00542451">
        <w:rPr>
          <w:b/>
          <w:sz w:val="28"/>
          <w:szCs w:val="28"/>
        </w:rPr>
        <w:tab/>
      </w:r>
      <w:r w:rsidR="00542451">
        <w:rPr>
          <w:b/>
          <w:sz w:val="28"/>
          <w:szCs w:val="28"/>
        </w:rPr>
        <w:tab/>
      </w:r>
      <w:r w:rsidR="00542451">
        <w:rPr>
          <w:b/>
          <w:sz w:val="28"/>
          <w:szCs w:val="28"/>
        </w:rPr>
        <w:tab/>
      </w:r>
      <w:r w:rsidR="00542451">
        <w:rPr>
          <w:b/>
          <w:sz w:val="28"/>
          <w:szCs w:val="28"/>
        </w:rPr>
        <w:tab/>
      </w:r>
      <w:r w:rsidR="00542451">
        <w:rPr>
          <w:b/>
          <w:noProof/>
          <w:sz w:val="28"/>
          <w:szCs w:val="28"/>
        </w:rPr>
        <w:drawing>
          <wp:inline distT="0" distB="0" distL="0" distR="0">
            <wp:extent cx="790575" cy="101193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86" cy="101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D5B" w:rsidRDefault="00593D5B" w:rsidP="009730A8">
      <w:pPr>
        <w:jc w:val="both"/>
        <w:rPr>
          <w:b/>
          <w:sz w:val="28"/>
          <w:szCs w:val="28"/>
        </w:rPr>
      </w:pPr>
    </w:p>
    <w:p w:rsidR="0072132A" w:rsidRPr="0072132A" w:rsidRDefault="0072132A" w:rsidP="0072132A">
      <w:pPr>
        <w:jc w:val="center"/>
        <w:rPr>
          <w:b/>
          <w:color w:val="365F91" w:themeColor="accent1" w:themeShade="BF"/>
          <w:sz w:val="28"/>
          <w:szCs w:val="28"/>
        </w:rPr>
      </w:pPr>
      <w:r w:rsidRPr="0072132A">
        <w:rPr>
          <w:b/>
          <w:color w:val="365F91" w:themeColor="accent1" w:themeShade="BF"/>
          <w:sz w:val="28"/>
          <w:szCs w:val="28"/>
        </w:rPr>
        <w:t>Fonds d’Initiatives A</w:t>
      </w:r>
      <w:r w:rsidR="006D3936">
        <w:rPr>
          <w:b/>
          <w:color w:val="365F91" w:themeColor="accent1" w:themeShade="BF"/>
          <w:sz w:val="28"/>
          <w:szCs w:val="28"/>
        </w:rPr>
        <w:t>ssociatives (FIA) de Saint-Ouen-</w:t>
      </w:r>
      <w:r w:rsidRPr="0072132A">
        <w:rPr>
          <w:b/>
          <w:color w:val="365F91" w:themeColor="accent1" w:themeShade="BF"/>
          <w:sz w:val="28"/>
          <w:szCs w:val="28"/>
        </w:rPr>
        <w:t>su</w:t>
      </w:r>
      <w:r w:rsidR="006D3936">
        <w:rPr>
          <w:b/>
          <w:color w:val="365F91" w:themeColor="accent1" w:themeShade="BF"/>
          <w:sz w:val="28"/>
          <w:szCs w:val="28"/>
        </w:rPr>
        <w:t>r-</w:t>
      </w:r>
      <w:r w:rsidRPr="0072132A">
        <w:rPr>
          <w:b/>
          <w:color w:val="365F91" w:themeColor="accent1" w:themeShade="BF"/>
          <w:sz w:val="28"/>
          <w:szCs w:val="28"/>
        </w:rPr>
        <w:t>Seine</w:t>
      </w:r>
    </w:p>
    <w:p w:rsidR="006E53BD" w:rsidRDefault="0072132A" w:rsidP="0072132A">
      <w:pPr>
        <w:jc w:val="center"/>
        <w:rPr>
          <w:b/>
          <w:color w:val="365F91" w:themeColor="accent1" w:themeShade="BF"/>
          <w:sz w:val="28"/>
          <w:szCs w:val="28"/>
        </w:rPr>
      </w:pPr>
      <w:r w:rsidRPr="0072132A">
        <w:rPr>
          <w:b/>
          <w:color w:val="365F91" w:themeColor="accent1" w:themeShade="BF"/>
          <w:sz w:val="28"/>
          <w:szCs w:val="28"/>
        </w:rPr>
        <w:t>Charte de fonctionnement 2023</w:t>
      </w:r>
    </w:p>
    <w:p w:rsidR="0072132A" w:rsidRPr="0072132A" w:rsidRDefault="0072132A" w:rsidP="0072132A">
      <w:pPr>
        <w:jc w:val="center"/>
        <w:rPr>
          <w:color w:val="365F91" w:themeColor="accent1" w:themeShade="BF"/>
        </w:rPr>
      </w:pPr>
    </w:p>
    <w:p w:rsidR="006E53BD" w:rsidRPr="00251001" w:rsidRDefault="006E53BD" w:rsidP="009730A8">
      <w:pPr>
        <w:jc w:val="both"/>
        <w:rPr>
          <w:b/>
          <w:color w:val="365F91" w:themeColor="accent1" w:themeShade="BF"/>
          <w:sz w:val="24"/>
        </w:rPr>
      </w:pPr>
      <w:r w:rsidRPr="00251001">
        <w:rPr>
          <w:b/>
          <w:color w:val="365F91" w:themeColor="accent1" w:themeShade="BF"/>
          <w:sz w:val="24"/>
        </w:rPr>
        <w:t>Article 1 : Définition</w:t>
      </w:r>
    </w:p>
    <w:p w:rsidR="0072132A" w:rsidRDefault="006E53BD" w:rsidP="009730A8">
      <w:pPr>
        <w:jc w:val="both"/>
      </w:pPr>
      <w:r>
        <w:t>Le Fond d’Initiative</w:t>
      </w:r>
      <w:r w:rsidR="00BE5B54">
        <w:t>s</w:t>
      </w:r>
      <w:r>
        <w:t xml:space="preserve"> Associatives</w:t>
      </w:r>
      <w:r w:rsidR="0072132A">
        <w:t xml:space="preserve"> (FIA)</w:t>
      </w:r>
      <w:r w:rsidR="00924535">
        <w:t> </w:t>
      </w:r>
      <w:r>
        <w:t xml:space="preserve"> </w:t>
      </w:r>
      <w:r w:rsidRPr="0072132A">
        <w:rPr>
          <w:b/>
        </w:rPr>
        <w:t xml:space="preserve">est un dispositif de soutien aux initiatives </w:t>
      </w:r>
      <w:r w:rsidR="00924535" w:rsidRPr="0072132A">
        <w:rPr>
          <w:b/>
        </w:rPr>
        <w:t>des associations,</w:t>
      </w:r>
      <w:r w:rsidRPr="0072132A">
        <w:rPr>
          <w:b/>
        </w:rPr>
        <w:t xml:space="preserve"> dans le cadre de la Politique de la ville</w:t>
      </w:r>
      <w:r>
        <w:t xml:space="preserve">, et plus précisément du </w:t>
      </w:r>
      <w:r w:rsidR="0072132A">
        <w:t>Contrat de Ville 2015- 2020, prorogé jusqu’en 2023. Il favorise les projets associatifs déployés sur la Ville de Saint-Ouen et a pour but d’alléger les démarches administratives relatives aux appels à projets annuels du Contrat de Ville.</w:t>
      </w:r>
    </w:p>
    <w:p w:rsidR="006E53BD" w:rsidRPr="006869B1" w:rsidRDefault="006E53BD" w:rsidP="009730A8">
      <w:pPr>
        <w:jc w:val="both"/>
      </w:pPr>
      <w:r w:rsidRPr="006869B1">
        <w:t xml:space="preserve"> </w:t>
      </w:r>
      <w:r w:rsidR="0072132A">
        <w:t xml:space="preserve">Cette </w:t>
      </w:r>
      <w:r w:rsidR="0072132A" w:rsidRPr="0072132A">
        <w:t>charte établit</w:t>
      </w:r>
      <w:r w:rsidR="0072132A" w:rsidRPr="0072132A">
        <w:rPr>
          <w:b/>
        </w:rPr>
        <w:t xml:space="preserve"> les conditions de fonctionnement du FIA au titre de l’année 2023</w:t>
      </w:r>
      <w:r w:rsidR="0072132A">
        <w:t xml:space="preserve"> et vaut comme règlement intérieur.</w:t>
      </w:r>
    </w:p>
    <w:p w:rsidR="006E53BD" w:rsidRPr="00165521" w:rsidRDefault="00FD03F7" w:rsidP="009730A8">
      <w:pPr>
        <w:jc w:val="both"/>
        <w:rPr>
          <w:b/>
          <w:color w:val="365F91" w:themeColor="accent1" w:themeShade="BF"/>
          <w:sz w:val="24"/>
          <w:szCs w:val="24"/>
        </w:rPr>
      </w:pPr>
      <w:r w:rsidRPr="00165521">
        <w:rPr>
          <w:b/>
          <w:color w:val="365F91" w:themeColor="accent1" w:themeShade="BF"/>
          <w:sz w:val="24"/>
          <w:szCs w:val="24"/>
        </w:rPr>
        <w:t>Article 2 : Objectifs du FIA</w:t>
      </w:r>
    </w:p>
    <w:p w:rsidR="00251001" w:rsidRDefault="00251001" w:rsidP="00251001">
      <w:pPr>
        <w:jc w:val="both"/>
      </w:pPr>
      <w:r>
        <w:t xml:space="preserve">Le projet doit s’inscrire dans un des </w:t>
      </w:r>
      <w:r w:rsidRPr="00251001">
        <w:rPr>
          <w:b/>
        </w:rPr>
        <w:t>6 axes du contrat de ville</w:t>
      </w:r>
      <w:r>
        <w:t xml:space="preserve"> : </w:t>
      </w:r>
    </w:p>
    <w:p w:rsidR="00251001" w:rsidRDefault="000723B4" w:rsidP="00251001">
      <w:pPr>
        <w:pStyle w:val="Paragraphedeliste"/>
        <w:numPr>
          <w:ilvl w:val="0"/>
          <w:numId w:val="1"/>
        </w:numPr>
        <w:jc w:val="both"/>
      </w:pPr>
      <w:r>
        <w:rPr>
          <w:rFonts w:cstheme="minorHAnsi"/>
        </w:rPr>
        <w:t>é</w:t>
      </w:r>
      <w:r w:rsidR="00251001">
        <w:t>ducation</w:t>
      </w:r>
    </w:p>
    <w:p w:rsidR="00251001" w:rsidRDefault="000723B4" w:rsidP="00251001">
      <w:pPr>
        <w:pStyle w:val="Paragraphedeliste"/>
        <w:numPr>
          <w:ilvl w:val="0"/>
          <w:numId w:val="1"/>
        </w:numPr>
        <w:jc w:val="both"/>
      </w:pPr>
      <w:r>
        <w:t>h</w:t>
      </w:r>
      <w:r w:rsidR="00251001">
        <w:t>abitat</w:t>
      </w:r>
      <w:r w:rsidR="00165521">
        <w:t>,</w:t>
      </w:r>
      <w:r w:rsidR="00251001">
        <w:t xml:space="preserve"> cadre de vie</w:t>
      </w:r>
    </w:p>
    <w:p w:rsidR="00251001" w:rsidRDefault="000723B4" w:rsidP="00251001">
      <w:pPr>
        <w:pStyle w:val="Paragraphedeliste"/>
        <w:numPr>
          <w:ilvl w:val="0"/>
          <w:numId w:val="1"/>
        </w:numPr>
        <w:jc w:val="both"/>
      </w:pPr>
      <w:r>
        <w:t>s</w:t>
      </w:r>
      <w:r w:rsidR="00251001">
        <w:t>anté</w:t>
      </w:r>
    </w:p>
    <w:p w:rsidR="00251001" w:rsidRDefault="000723B4" w:rsidP="00251001">
      <w:pPr>
        <w:pStyle w:val="Paragraphedeliste"/>
        <w:numPr>
          <w:ilvl w:val="0"/>
          <w:numId w:val="1"/>
        </w:numPr>
        <w:jc w:val="both"/>
      </w:pPr>
      <w:r>
        <w:t>i</w:t>
      </w:r>
      <w:r w:rsidR="00251001">
        <w:t>nsertion, emploi, développement économique</w:t>
      </w:r>
    </w:p>
    <w:p w:rsidR="00251001" w:rsidRDefault="000723B4" w:rsidP="00251001">
      <w:pPr>
        <w:pStyle w:val="Paragraphedeliste"/>
        <w:numPr>
          <w:ilvl w:val="0"/>
          <w:numId w:val="1"/>
        </w:numPr>
        <w:jc w:val="both"/>
      </w:pPr>
      <w:r>
        <w:t>t</w:t>
      </w:r>
      <w:r w:rsidR="00251001">
        <w:t>ranquillité publique, sécurité, prévention de la délinquance</w:t>
      </w:r>
    </w:p>
    <w:p w:rsidR="00251001" w:rsidRPr="00251001" w:rsidRDefault="000723B4" w:rsidP="009730A8">
      <w:pPr>
        <w:pStyle w:val="Paragraphedeliste"/>
        <w:numPr>
          <w:ilvl w:val="0"/>
          <w:numId w:val="1"/>
        </w:numPr>
        <w:jc w:val="both"/>
      </w:pPr>
      <w:r>
        <w:t>a</w:t>
      </w:r>
      <w:r w:rsidR="00251001">
        <w:t>nimation sociale et culturelle des quartiers</w:t>
      </w:r>
    </w:p>
    <w:p w:rsidR="00251001" w:rsidRDefault="00251001" w:rsidP="009730A8">
      <w:pPr>
        <w:jc w:val="both"/>
      </w:pPr>
      <w:r>
        <w:t xml:space="preserve">Conformément à la circulaire du 22 janvier 2019, </w:t>
      </w:r>
      <w:r w:rsidRPr="00251001">
        <w:rPr>
          <w:b/>
        </w:rPr>
        <w:t>Les projets devront également s’inscrire dans les axes du Protocole d’Engagements Renforcés Réciproques</w:t>
      </w:r>
      <w:r>
        <w:t xml:space="preserve"> (PERR) :</w:t>
      </w:r>
    </w:p>
    <w:p w:rsidR="00251001" w:rsidRDefault="000723B4" w:rsidP="00251001">
      <w:pPr>
        <w:pStyle w:val="Paragraphedeliste"/>
        <w:numPr>
          <w:ilvl w:val="0"/>
          <w:numId w:val="1"/>
        </w:numPr>
        <w:jc w:val="both"/>
      </w:pPr>
      <w:r>
        <w:t>l</w:t>
      </w:r>
      <w:r w:rsidR="00251001">
        <w:t>’insertion et le développement économique, cré</w:t>
      </w:r>
      <w:r w:rsidR="00165521">
        <w:t>er</w:t>
      </w:r>
      <w:r w:rsidR="00251001">
        <w:t xml:space="preserve"> des dynamiques de parcours</w:t>
      </w:r>
    </w:p>
    <w:p w:rsidR="00251001" w:rsidRDefault="000723B4" w:rsidP="00251001">
      <w:pPr>
        <w:pStyle w:val="Paragraphedeliste"/>
        <w:numPr>
          <w:ilvl w:val="0"/>
          <w:numId w:val="1"/>
        </w:numPr>
        <w:jc w:val="both"/>
      </w:pPr>
      <w:r>
        <w:t>l</w:t>
      </w:r>
      <w:r w:rsidR="00251001">
        <w:t>’éducation et la formation, renforcer les parcours de réussite scolaire et éducative</w:t>
      </w:r>
    </w:p>
    <w:p w:rsidR="00251001" w:rsidRDefault="000723B4" w:rsidP="00251001">
      <w:pPr>
        <w:pStyle w:val="Paragraphedeliste"/>
        <w:numPr>
          <w:ilvl w:val="0"/>
          <w:numId w:val="1"/>
        </w:numPr>
        <w:jc w:val="both"/>
      </w:pPr>
      <w:r>
        <w:t>l</w:t>
      </w:r>
      <w:r w:rsidR="00251001">
        <w:t>’accès aux droits et aux services publics</w:t>
      </w:r>
    </w:p>
    <w:p w:rsidR="00251001" w:rsidRDefault="000723B4" w:rsidP="00251001">
      <w:pPr>
        <w:pStyle w:val="Paragraphedeliste"/>
        <w:numPr>
          <w:ilvl w:val="0"/>
          <w:numId w:val="1"/>
        </w:numPr>
        <w:jc w:val="both"/>
      </w:pPr>
      <w:r>
        <w:t>l</w:t>
      </w:r>
      <w:r w:rsidR="00251001">
        <w:t>’accompagnement des dynamiques territoriales à travers la culture et le lien social</w:t>
      </w:r>
    </w:p>
    <w:p w:rsidR="00251001" w:rsidRDefault="008572A1" w:rsidP="00251001">
      <w:pPr>
        <w:jc w:val="both"/>
      </w:pPr>
      <w:r>
        <w:t xml:space="preserve">Une attention particulière sera apportée aux </w:t>
      </w:r>
      <w:r w:rsidRPr="008572A1">
        <w:rPr>
          <w:b/>
        </w:rPr>
        <w:t>projets ciblés comme prioritaires</w:t>
      </w:r>
      <w:r>
        <w:t> :</w:t>
      </w:r>
    </w:p>
    <w:p w:rsidR="008572A1" w:rsidRDefault="000723B4" w:rsidP="008572A1">
      <w:pPr>
        <w:pStyle w:val="Paragraphedeliste"/>
        <w:numPr>
          <w:ilvl w:val="0"/>
          <w:numId w:val="1"/>
        </w:numPr>
        <w:jc w:val="both"/>
      </w:pPr>
      <w:r>
        <w:t>l</w:t>
      </w:r>
      <w:r w:rsidR="00165521">
        <w:t>’égalité femmes/</w:t>
      </w:r>
      <w:r w:rsidR="008572A1">
        <w:t>hommes</w:t>
      </w:r>
    </w:p>
    <w:p w:rsidR="008572A1" w:rsidRDefault="000723B4" w:rsidP="008572A1">
      <w:pPr>
        <w:pStyle w:val="Paragraphedeliste"/>
        <w:numPr>
          <w:ilvl w:val="0"/>
          <w:numId w:val="1"/>
        </w:numPr>
        <w:jc w:val="both"/>
      </w:pPr>
      <w:r>
        <w:t>l</w:t>
      </w:r>
      <w:r w:rsidR="008572A1">
        <w:t>a lutte contre les discriminations</w:t>
      </w:r>
    </w:p>
    <w:p w:rsidR="008572A1" w:rsidRDefault="000723B4" w:rsidP="008572A1">
      <w:pPr>
        <w:pStyle w:val="Paragraphedeliste"/>
        <w:numPr>
          <w:ilvl w:val="0"/>
          <w:numId w:val="1"/>
        </w:numPr>
        <w:jc w:val="both"/>
      </w:pPr>
      <w:r>
        <w:t>l</w:t>
      </w:r>
      <w:r w:rsidR="008572A1">
        <w:t>a jeunesse</w:t>
      </w:r>
    </w:p>
    <w:p w:rsidR="00616DB9" w:rsidRPr="00616DB9" w:rsidRDefault="00616DB9" w:rsidP="009730A8">
      <w:pPr>
        <w:jc w:val="both"/>
      </w:pPr>
      <w:r w:rsidRPr="00616DB9">
        <w:lastRenderedPageBreak/>
        <w:t>Le</w:t>
      </w:r>
      <w:r w:rsidRPr="00616DB9">
        <w:rPr>
          <w:b/>
        </w:rPr>
        <w:t xml:space="preserve"> financement </w:t>
      </w:r>
      <w:r w:rsidRPr="00616DB9">
        <w:t xml:space="preserve">ne peut être supérieur à </w:t>
      </w:r>
      <w:r w:rsidRPr="00616DB9">
        <w:rPr>
          <w:b/>
        </w:rPr>
        <w:t>3000€ par an et par action</w:t>
      </w:r>
      <w:r w:rsidRPr="00616DB9">
        <w:t>. Celle-ci doit être cofi</w:t>
      </w:r>
      <w:r w:rsidR="00165521">
        <w:t>nancée à hauteur de 20% minimum</w:t>
      </w:r>
      <w:r w:rsidRPr="00616DB9">
        <w:t xml:space="preserve"> par d’autres financements que le FIA (adhésions, fonds propres, autres financeurs, vente de produits). </w:t>
      </w:r>
    </w:p>
    <w:p w:rsidR="00616DB9" w:rsidRPr="00616DB9" w:rsidRDefault="00616DB9" w:rsidP="009730A8">
      <w:pPr>
        <w:jc w:val="both"/>
      </w:pPr>
      <w:r w:rsidRPr="00616DB9">
        <w:t>Sont automatiquement intégrées les actions retenues dans la programmation politique de la ville, dont le montant de subvention  par l’</w:t>
      </w:r>
      <w:r w:rsidR="00165521">
        <w:rPr>
          <w:rFonts w:cstheme="minorHAnsi"/>
        </w:rPr>
        <w:t>É</w:t>
      </w:r>
      <w:r w:rsidRPr="00616DB9">
        <w:t>tat est inférieur à  3 000€.</w:t>
      </w:r>
    </w:p>
    <w:p w:rsidR="006E53BD" w:rsidRPr="008572A1" w:rsidRDefault="006869B1" w:rsidP="009730A8">
      <w:pPr>
        <w:jc w:val="both"/>
        <w:rPr>
          <w:b/>
          <w:color w:val="365F91" w:themeColor="accent1" w:themeShade="BF"/>
          <w:sz w:val="24"/>
        </w:rPr>
      </w:pPr>
      <w:r w:rsidRPr="008572A1">
        <w:rPr>
          <w:b/>
          <w:color w:val="365F91" w:themeColor="accent1" w:themeShade="BF"/>
          <w:sz w:val="24"/>
        </w:rPr>
        <w:t xml:space="preserve">Article </w:t>
      </w:r>
      <w:r w:rsidR="008572A1" w:rsidRPr="008572A1">
        <w:rPr>
          <w:b/>
          <w:color w:val="365F91" w:themeColor="accent1" w:themeShade="BF"/>
          <w:sz w:val="24"/>
        </w:rPr>
        <w:t>3</w:t>
      </w:r>
      <w:r w:rsidR="003B2998" w:rsidRPr="008572A1">
        <w:rPr>
          <w:b/>
          <w:color w:val="365F91" w:themeColor="accent1" w:themeShade="BF"/>
          <w:sz w:val="24"/>
        </w:rPr>
        <w:t> </w:t>
      </w:r>
      <w:r w:rsidRPr="008572A1">
        <w:rPr>
          <w:b/>
          <w:color w:val="365F91" w:themeColor="accent1" w:themeShade="BF"/>
          <w:sz w:val="24"/>
        </w:rPr>
        <w:t>: M</w:t>
      </w:r>
      <w:r w:rsidR="006E53BD" w:rsidRPr="008572A1">
        <w:rPr>
          <w:b/>
          <w:color w:val="365F91" w:themeColor="accent1" w:themeShade="BF"/>
          <w:sz w:val="24"/>
        </w:rPr>
        <w:t>odalités concernant les porteurs</w:t>
      </w:r>
    </w:p>
    <w:p w:rsidR="006E53BD" w:rsidRPr="009E7CEF" w:rsidRDefault="006E53BD" w:rsidP="009730A8">
      <w:pPr>
        <w:jc w:val="both"/>
        <w:rPr>
          <w:b/>
        </w:rPr>
      </w:pPr>
      <w:r>
        <w:t xml:space="preserve">Le FIA est ouvert </w:t>
      </w:r>
      <w:r w:rsidRPr="009E7CEF">
        <w:rPr>
          <w:b/>
        </w:rPr>
        <w:t>aux associations Loi 1901, domiciliée</w:t>
      </w:r>
      <w:r w:rsidR="00BE5B54" w:rsidRPr="009E7CEF">
        <w:rPr>
          <w:b/>
        </w:rPr>
        <w:t>s</w:t>
      </w:r>
      <w:r w:rsidRPr="009E7CEF">
        <w:rPr>
          <w:b/>
        </w:rPr>
        <w:t xml:space="preserve"> à Saint-Ouen</w:t>
      </w:r>
      <w:r w:rsidR="009730A8" w:rsidRPr="009E7CEF">
        <w:rPr>
          <w:b/>
        </w:rPr>
        <w:t>-sur-Seine</w:t>
      </w:r>
      <w:r w:rsidRPr="009E7CEF">
        <w:rPr>
          <w:b/>
        </w:rPr>
        <w:t xml:space="preserve"> </w:t>
      </w:r>
      <w:r w:rsidR="00ED51D1" w:rsidRPr="009E7CEF">
        <w:rPr>
          <w:b/>
        </w:rPr>
        <w:t>ou dont l’ac</w:t>
      </w:r>
      <w:r w:rsidR="009730A8" w:rsidRPr="009E7CEF">
        <w:rPr>
          <w:b/>
        </w:rPr>
        <w:t>tivité concerne spécifiquement l</w:t>
      </w:r>
      <w:r w:rsidR="00ED51D1" w:rsidRPr="009E7CEF">
        <w:rPr>
          <w:b/>
        </w:rPr>
        <w:t xml:space="preserve">es </w:t>
      </w:r>
      <w:r w:rsidR="00100CDE">
        <w:rPr>
          <w:b/>
        </w:rPr>
        <w:t xml:space="preserve">Audoniennes et les </w:t>
      </w:r>
      <w:r w:rsidR="00BE5B54" w:rsidRPr="009E7CEF">
        <w:rPr>
          <w:b/>
        </w:rPr>
        <w:t>A</w:t>
      </w:r>
      <w:r w:rsidR="00ED51D1" w:rsidRPr="009E7CEF">
        <w:rPr>
          <w:b/>
        </w:rPr>
        <w:t>udonien</w:t>
      </w:r>
      <w:r w:rsidR="008572A1" w:rsidRPr="009E7CEF">
        <w:rPr>
          <w:b/>
        </w:rPr>
        <w:t>s et en direction des quartiers relevant de la Politique de la Ville</w:t>
      </w:r>
      <w:r w:rsidR="009E7CEF">
        <w:rPr>
          <w:b/>
        </w:rPr>
        <w:t>.</w:t>
      </w:r>
    </w:p>
    <w:p w:rsidR="008572A1" w:rsidRPr="00D86BF0" w:rsidRDefault="00ED51D1" w:rsidP="009730A8">
      <w:pPr>
        <w:jc w:val="both"/>
      </w:pPr>
      <w:r>
        <w:t xml:space="preserve">L’association doit être régulièrement constituée, déclarée en </w:t>
      </w:r>
      <w:r w:rsidR="00924535">
        <w:t>préfecture</w:t>
      </w:r>
      <w:r>
        <w:t xml:space="preserve"> et</w:t>
      </w:r>
      <w:r w:rsidR="00924535">
        <w:t xml:space="preserve"> être </w:t>
      </w:r>
      <w:r>
        <w:t xml:space="preserve">en règle au regard des obligations statutaires et financières. </w:t>
      </w:r>
    </w:p>
    <w:p w:rsidR="008572A1" w:rsidRPr="00165521" w:rsidRDefault="008572A1" w:rsidP="008572A1">
      <w:pPr>
        <w:jc w:val="both"/>
        <w:rPr>
          <w:b/>
          <w:color w:val="365F91" w:themeColor="accent1" w:themeShade="BF"/>
          <w:sz w:val="24"/>
          <w:szCs w:val="24"/>
        </w:rPr>
      </w:pPr>
      <w:r w:rsidRPr="00165521">
        <w:rPr>
          <w:b/>
          <w:color w:val="365F91" w:themeColor="accent1" w:themeShade="BF"/>
          <w:sz w:val="24"/>
          <w:szCs w:val="24"/>
        </w:rPr>
        <w:t>Article 4 : Gouvernance du FIA</w:t>
      </w:r>
    </w:p>
    <w:p w:rsidR="008572A1" w:rsidRDefault="008572A1" w:rsidP="008572A1">
      <w:pPr>
        <w:pStyle w:val="Paragraphedeliste"/>
        <w:numPr>
          <w:ilvl w:val="0"/>
          <w:numId w:val="4"/>
        </w:numPr>
        <w:jc w:val="both"/>
      </w:pPr>
      <w:r>
        <w:t>Comité de gestion</w:t>
      </w:r>
    </w:p>
    <w:p w:rsidR="008572A1" w:rsidRPr="00345E90" w:rsidRDefault="008572A1" w:rsidP="008572A1">
      <w:pPr>
        <w:jc w:val="both"/>
        <w:rPr>
          <w:b/>
        </w:rPr>
      </w:pPr>
      <w:r w:rsidRPr="00345E90">
        <w:rPr>
          <w:b/>
        </w:rPr>
        <w:t xml:space="preserve"> Le FIA est géré par un comité de gestion qui se réunit au minimum deux  fois par an. </w:t>
      </w:r>
    </w:p>
    <w:p w:rsidR="008572A1" w:rsidRDefault="008572A1" w:rsidP="008572A1">
      <w:pPr>
        <w:jc w:val="both"/>
      </w:pPr>
      <w:r>
        <w:t xml:space="preserve">Ce comité de gestion a pour mission de délibérer sur </w:t>
      </w:r>
      <w:r w:rsidR="00165521">
        <w:t>les projets qui lui sont soumis,</w:t>
      </w:r>
      <w:r>
        <w:t xml:space="preserve"> et décide de l’octroi</w:t>
      </w:r>
      <w:r w:rsidR="00165521">
        <w:t xml:space="preserve"> et du montant de la subvention</w:t>
      </w:r>
      <w:r>
        <w:t xml:space="preserve"> dans le cadre du montant de l’enveloppe qui aura été défini dans la programmation politique de la ville. </w:t>
      </w:r>
    </w:p>
    <w:p w:rsidR="008572A1" w:rsidRPr="00345E90" w:rsidRDefault="008572A1" w:rsidP="008572A1">
      <w:pPr>
        <w:jc w:val="both"/>
        <w:rPr>
          <w:b/>
        </w:rPr>
      </w:pPr>
      <w:r w:rsidRPr="00345E90">
        <w:rPr>
          <w:b/>
        </w:rPr>
        <w:t xml:space="preserve">Le comité de gestion est composé de : </w:t>
      </w:r>
    </w:p>
    <w:p w:rsidR="008572A1" w:rsidRDefault="00100CDE" w:rsidP="008572A1">
      <w:pPr>
        <w:pStyle w:val="Paragraphedeliste"/>
        <w:numPr>
          <w:ilvl w:val="0"/>
          <w:numId w:val="5"/>
        </w:numPr>
        <w:jc w:val="both"/>
      </w:pPr>
      <w:r>
        <w:t>l’</w:t>
      </w:r>
      <w:r w:rsidR="008572A1">
        <w:t>élu</w:t>
      </w:r>
      <w:r>
        <w:t>e</w:t>
      </w:r>
      <w:r w:rsidR="008572A1">
        <w:t xml:space="preserve"> délégué</w:t>
      </w:r>
      <w:r>
        <w:t>e</w:t>
      </w:r>
      <w:r w:rsidR="008572A1">
        <w:t xml:space="preserve"> à</w:t>
      </w:r>
      <w:r w:rsidR="00165521">
        <w:t xml:space="preserve"> la vie associative</w:t>
      </w:r>
    </w:p>
    <w:p w:rsidR="008572A1" w:rsidRDefault="00100CDE" w:rsidP="008572A1">
      <w:pPr>
        <w:pStyle w:val="Paragraphedeliste"/>
        <w:numPr>
          <w:ilvl w:val="0"/>
          <w:numId w:val="5"/>
        </w:numPr>
        <w:jc w:val="both"/>
      </w:pPr>
      <w:r>
        <w:t>deux</w:t>
      </w:r>
      <w:r w:rsidR="00165521">
        <w:t xml:space="preserve"> représentants d’association</w:t>
      </w:r>
    </w:p>
    <w:p w:rsidR="008572A1" w:rsidRDefault="00100CDE" w:rsidP="008572A1">
      <w:pPr>
        <w:pStyle w:val="Paragraphedeliste"/>
        <w:numPr>
          <w:ilvl w:val="0"/>
          <w:numId w:val="5"/>
        </w:numPr>
        <w:jc w:val="both"/>
      </w:pPr>
      <w:r>
        <w:t>deux</w:t>
      </w:r>
      <w:r w:rsidR="008572A1">
        <w:t xml:space="preserve"> r</w:t>
      </w:r>
      <w:r w:rsidR="00165521">
        <w:t>eprésentants du conseil citoyen</w:t>
      </w:r>
    </w:p>
    <w:p w:rsidR="008572A1" w:rsidRDefault="00100CDE" w:rsidP="008572A1">
      <w:pPr>
        <w:pStyle w:val="Paragraphedeliste"/>
        <w:numPr>
          <w:ilvl w:val="0"/>
          <w:numId w:val="5"/>
        </w:numPr>
        <w:jc w:val="both"/>
      </w:pPr>
      <w:r>
        <w:t>la</w:t>
      </w:r>
      <w:r w:rsidR="008572A1">
        <w:t xml:space="preserve"> délégu</w:t>
      </w:r>
      <w:r>
        <w:t>ée</w:t>
      </w:r>
      <w:r w:rsidR="008572A1" w:rsidRPr="007B687B">
        <w:t xml:space="preserve"> du Préfet </w:t>
      </w:r>
    </w:p>
    <w:p w:rsidR="008572A1" w:rsidRPr="00345E90" w:rsidRDefault="008572A1" w:rsidP="008572A1">
      <w:pPr>
        <w:jc w:val="both"/>
        <w:rPr>
          <w:b/>
        </w:rPr>
      </w:pPr>
      <w:r w:rsidRPr="00345E90">
        <w:rPr>
          <w:b/>
        </w:rPr>
        <w:t>Le mandat des représentants des associations est d’une durée d’un an. Les associations sont tirées au sort chaque année.</w:t>
      </w:r>
    </w:p>
    <w:p w:rsidR="008572A1" w:rsidRDefault="008572A1" w:rsidP="008572A1">
      <w:pPr>
        <w:pStyle w:val="Paragraphedeliste"/>
        <w:numPr>
          <w:ilvl w:val="0"/>
          <w:numId w:val="4"/>
        </w:numPr>
        <w:jc w:val="both"/>
      </w:pPr>
      <w:r>
        <w:t>Comité de pilotage</w:t>
      </w:r>
    </w:p>
    <w:p w:rsidR="008572A1" w:rsidRDefault="008572A1" w:rsidP="008572A1">
      <w:pPr>
        <w:jc w:val="both"/>
      </w:pPr>
      <w:r>
        <w:t>Un comité de pilotage se réuni</w:t>
      </w:r>
      <w:r w:rsidR="00165521">
        <w:t>t</w:t>
      </w:r>
      <w:r>
        <w:t xml:space="preserve"> une fois par an afin de faire le bilan du fonctionnement du dispositif et </w:t>
      </w:r>
      <w:r w:rsidR="00165521">
        <w:t xml:space="preserve">de </w:t>
      </w:r>
      <w:r>
        <w:t xml:space="preserve">déterminer si besoin </w:t>
      </w:r>
      <w:r w:rsidR="00100CDE">
        <w:t>les mesures à prendre</w:t>
      </w:r>
      <w:r>
        <w:t xml:space="preserve">. </w:t>
      </w:r>
    </w:p>
    <w:p w:rsidR="008572A1" w:rsidRDefault="008572A1" w:rsidP="008572A1">
      <w:pPr>
        <w:jc w:val="both"/>
      </w:pPr>
      <w:r>
        <w:t>Ce comité de pilotage est composé de :</w:t>
      </w:r>
    </w:p>
    <w:p w:rsidR="008572A1" w:rsidRDefault="00100CDE" w:rsidP="008572A1">
      <w:pPr>
        <w:pStyle w:val="Paragraphedeliste"/>
        <w:numPr>
          <w:ilvl w:val="0"/>
          <w:numId w:val="6"/>
        </w:numPr>
        <w:jc w:val="both"/>
      </w:pPr>
      <w:r>
        <w:t>l</w:t>
      </w:r>
      <w:r w:rsidR="008572A1">
        <w:t>’élu</w:t>
      </w:r>
      <w:r>
        <w:t>e</w:t>
      </w:r>
      <w:r w:rsidR="008572A1">
        <w:t xml:space="preserve"> </w:t>
      </w:r>
      <w:r w:rsidR="00165521">
        <w:t>délégué</w:t>
      </w:r>
      <w:r>
        <w:t>e</w:t>
      </w:r>
      <w:r w:rsidR="00165521">
        <w:t xml:space="preserve"> à la vie associative</w:t>
      </w:r>
    </w:p>
    <w:p w:rsidR="008572A1" w:rsidRDefault="00100CDE" w:rsidP="008572A1">
      <w:pPr>
        <w:pStyle w:val="Paragraphedeliste"/>
        <w:numPr>
          <w:ilvl w:val="0"/>
          <w:numId w:val="6"/>
        </w:numPr>
        <w:jc w:val="both"/>
      </w:pPr>
      <w:r>
        <w:t>la</w:t>
      </w:r>
      <w:r w:rsidR="00165521">
        <w:t xml:space="preserve"> </w:t>
      </w:r>
      <w:r w:rsidR="00165521" w:rsidRPr="00506DF1">
        <w:rPr>
          <w:sz w:val="24"/>
        </w:rPr>
        <w:t>délégué</w:t>
      </w:r>
      <w:r w:rsidR="00170D8F" w:rsidRPr="00170D8F">
        <w:rPr>
          <w:sz w:val="24"/>
        </w:rPr>
        <w:t>e</w:t>
      </w:r>
      <w:r w:rsidR="00165521">
        <w:t xml:space="preserve"> du Préfet</w:t>
      </w:r>
    </w:p>
    <w:p w:rsidR="008572A1" w:rsidRDefault="00100CDE" w:rsidP="008572A1">
      <w:pPr>
        <w:pStyle w:val="Paragraphedeliste"/>
        <w:numPr>
          <w:ilvl w:val="0"/>
          <w:numId w:val="5"/>
        </w:numPr>
        <w:jc w:val="both"/>
      </w:pPr>
      <w:r>
        <w:t>deux</w:t>
      </w:r>
      <w:r w:rsidR="00165521">
        <w:t xml:space="preserve"> représentants d’association</w:t>
      </w:r>
    </w:p>
    <w:p w:rsidR="008572A1" w:rsidRDefault="00100CDE" w:rsidP="008572A1">
      <w:pPr>
        <w:pStyle w:val="Paragraphedeliste"/>
        <w:numPr>
          <w:ilvl w:val="0"/>
          <w:numId w:val="5"/>
        </w:numPr>
        <w:jc w:val="both"/>
      </w:pPr>
      <w:r>
        <w:t>deux</w:t>
      </w:r>
      <w:r w:rsidR="008572A1">
        <w:t xml:space="preserve"> r</w:t>
      </w:r>
      <w:r w:rsidR="00165521">
        <w:t>eprése</w:t>
      </w:r>
      <w:bookmarkStart w:id="0" w:name="_GoBack"/>
      <w:bookmarkEnd w:id="0"/>
      <w:r w:rsidR="00165521">
        <w:t>ntants du conseil citoyen</w:t>
      </w:r>
    </w:p>
    <w:p w:rsidR="008572A1" w:rsidRPr="00D86BF0" w:rsidRDefault="008572A1" w:rsidP="009730A8">
      <w:pPr>
        <w:jc w:val="both"/>
      </w:pPr>
      <w:r>
        <w:t xml:space="preserve">Le mandat des représentants des associations est d’une durée d’un an. </w:t>
      </w:r>
    </w:p>
    <w:p w:rsidR="00ED51D1" w:rsidRPr="008572A1" w:rsidRDefault="006869B1" w:rsidP="009730A8">
      <w:pPr>
        <w:jc w:val="both"/>
        <w:rPr>
          <w:b/>
          <w:color w:val="365F91" w:themeColor="accent1" w:themeShade="BF"/>
          <w:sz w:val="24"/>
        </w:rPr>
      </w:pPr>
      <w:r w:rsidRPr="008572A1">
        <w:rPr>
          <w:b/>
          <w:color w:val="365F91" w:themeColor="accent1" w:themeShade="BF"/>
          <w:sz w:val="24"/>
        </w:rPr>
        <w:lastRenderedPageBreak/>
        <w:t xml:space="preserve">Article </w:t>
      </w:r>
      <w:r w:rsidR="003B2998" w:rsidRPr="008572A1">
        <w:rPr>
          <w:b/>
          <w:color w:val="365F91" w:themeColor="accent1" w:themeShade="BF"/>
          <w:sz w:val="24"/>
        </w:rPr>
        <w:t>5 </w:t>
      </w:r>
      <w:r w:rsidRPr="008572A1">
        <w:rPr>
          <w:b/>
          <w:color w:val="365F91" w:themeColor="accent1" w:themeShade="BF"/>
          <w:sz w:val="24"/>
        </w:rPr>
        <w:t>: M</w:t>
      </w:r>
      <w:r w:rsidR="00ED51D1" w:rsidRPr="008572A1">
        <w:rPr>
          <w:b/>
          <w:color w:val="365F91" w:themeColor="accent1" w:themeShade="BF"/>
          <w:sz w:val="24"/>
        </w:rPr>
        <w:t>odalités concernant le projet</w:t>
      </w:r>
    </w:p>
    <w:p w:rsidR="00ED51D1" w:rsidRDefault="00FC2212" w:rsidP="009730A8">
      <w:pPr>
        <w:jc w:val="both"/>
      </w:pPr>
      <w:r>
        <w:t>Le projet doi</w:t>
      </w:r>
      <w:r w:rsidR="00ED51D1">
        <w:t xml:space="preserve">t répondre </w:t>
      </w:r>
      <w:r w:rsidR="00ED51D1" w:rsidRPr="009E7CEF">
        <w:rPr>
          <w:b/>
        </w:rPr>
        <w:t>aux axes ou à un ax</w:t>
      </w:r>
      <w:r w:rsidR="009E7CEF" w:rsidRPr="009E7CEF">
        <w:rPr>
          <w:b/>
        </w:rPr>
        <w:t>e du contrat de ville</w:t>
      </w:r>
      <w:r w:rsidR="00ED51D1">
        <w:t xml:space="preserve">. Il ne doit pas bénéficier aux seuls adhérents de l’association, mais doit être ouvert à l’ensemble de la population. </w:t>
      </w:r>
      <w:r w:rsidR="003B2998">
        <w:t xml:space="preserve"> Il doit être porteur de lien social, </w:t>
      </w:r>
      <w:r w:rsidR="00A8289E">
        <w:t>favoriser le développement du territoire et la participation des habitants</w:t>
      </w:r>
      <w:r w:rsidR="00616DB9">
        <w:t xml:space="preserve"> des quartiers prioritaires</w:t>
      </w:r>
      <w:r w:rsidR="00A8289E">
        <w:t xml:space="preserve"> </w:t>
      </w:r>
      <w:r w:rsidR="003B2998">
        <w:t xml:space="preserve">et bénéficier en priorité au public le plus en difficulté.  </w:t>
      </w:r>
    </w:p>
    <w:p w:rsidR="00ED51D1" w:rsidRDefault="00FC2212" w:rsidP="009730A8">
      <w:pPr>
        <w:jc w:val="both"/>
      </w:pPr>
      <w:r>
        <w:t>Il doi</w:t>
      </w:r>
      <w:r w:rsidR="006869B1">
        <w:t xml:space="preserve">t </w:t>
      </w:r>
      <w:r w:rsidR="008C75DB">
        <w:t>à</w:t>
      </w:r>
      <w:r w:rsidR="00ED51D1">
        <w:t xml:space="preserve"> minima avoir été </w:t>
      </w:r>
      <w:r w:rsidRPr="009730A8">
        <w:rPr>
          <w:b/>
        </w:rPr>
        <w:t>présenté</w:t>
      </w:r>
      <w:r w:rsidR="00ED51D1" w:rsidRPr="009730A8">
        <w:rPr>
          <w:b/>
        </w:rPr>
        <w:t xml:space="preserve"> à </w:t>
      </w:r>
      <w:r w:rsidR="006869B1" w:rsidRPr="009730A8">
        <w:rPr>
          <w:b/>
        </w:rPr>
        <w:t>l’</w:t>
      </w:r>
      <w:r w:rsidR="00ED51D1" w:rsidRPr="009730A8">
        <w:rPr>
          <w:b/>
        </w:rPr>
        <w:t>une des maisons de quartier</w:t>
      </w:r>
      <w:r w:rsidR="00C80A29" w:rsidRPr="009730A8">
        <w:rPr>
          <w:b/>
        </w:rPr>
        <w:t>s</w:t>
      </w:r>
      <w:r w:rsidR="00ED51D1" w:rsidRPr="009730A8">
        <w:rPr>
          <w:b/>
        </w:rPr>
        <w:t xml:space="preserve"> </w:t>
      </w:r>
      <w:r w:rsidR="009730A8" w:rsidRPr="009730A8">
        <w:rPr>
          <w:b/>
        </w:rPr>
        <w:t>et/ou des espaces de vie sociale</w:t>
      </w:r>
      <w:r w:rsidR="009730A8">
        <w:t xml:space="preserve"> </w:t>
      </w:r>
      <w:r w:rsidR="00ED51D1">
        <w:t>et un travail partenarial avec celles-ci doit être réalisé.</w:t>
      </w:r>
      <w:r w:rsidR="008C75DB">
        <w:t xml:space="preserve"> </w:t>
      </w:r>
      <w:r w:rsidR="00557179">
        <w:t>Le projet doit a</w:t>
      </w:r>
      <w:r w:rsidR="009730A8">
        <w:t xml:space="preserve">voir également été présenté au </w:t>
      </w:r>
      <w:r w:rsidR="00C80A29">
        <w:t>Délégué</w:t>
      </w:r>
      <w:r w:rsidR="00557179">
        <w:t xml:space="preserve"> du Préfet du</w:t>
      </w:r>
      <w:r w:rsidR="00C80A29">
        <w:t xml:space="preserve"> territoire et au chargé de mission</w:t>
      </w:r>
      <w:r w:rsidR="00557179">
        <w:t xml:space="preserve"> politique de la ville. </w:t>
      </w:r>
    </w:p>
    <w:p w:rsidR="00ED51D1" w:rsidRDefault="00ED51D1" w:rsidP="00D86BF0">
      <w:pPr>
        <w:ind w:right="853"/>
        <w:jc w:val="both"/>
      </w:pPr>
      <w:r>
        <w:t xml:space="preserve">Le projet ne peut être financé qu’une </w:t>
      </w:r>
      <w:r w:rsidRPr="009730A8">
        <w:rPr>
          <w:b/>
        </w:rPr>
        <w:t>seule fois par an</w:t>
      </w:r>
      <w:r>
        <w:t xml:space="preserve"> par</w:t>
      </w:r>
      <w:r w:rsidR="002B3239">
        <w:t xml:space="preserve"> le FIA et ne doit pas être</w:t>
      </w:r>
      <w:r>
        <w:t xml:space="preserve"> financé par un autre dispositif politique de la ville</w:t>
      </w:r>
      <w:r w:rsidR="002B3239">
        <w:t xml:space="preserve"> </w:t>
      </w:r>
      <w:r w:rsidR="002B3239" w:rsidRPr="002B3239">
        <w:t>(FIA, Contrat</w:t>
      </w:r>
      <w:r w:rsidR="002B3239" w:rsidRPr="002B3239">
        <w:rPr>
          <w:spacing w:val="1"/>
        </w:rPr>
        <w:t xml:space="preserve"> </w:t>
      </w:r>
      <w:r w:rsidR="002B3239" w:rsidRPr="002B3239">
        <w:t>de Ville, dispositifs exceptionnels de l’Etat, ou FIPDR - Fonds Interministériel de Prévention de la Délinquance et</w:t>
      </w:r>
      <w:r w:rsidR="002B3239" w:rsidRPr="002B3239">
        <w:rPr>
          <w:spacing w:val="-43"/>
        </w:rPr>
        <w:t xml:space="preserve"> </w:t>
      </w:r>
      <w:r w:rsidR="002B3239" w:rsidRPr="002B3239">
        <w:t>de</w:t>
      </w:r>
      <w:r w:rsidR="002B3239" w:rsidRPr="002B3239">
        <w:rPr>
          <w:spacing w:val="-2"/>
        </w:rPr>
        <w:t xml:space="preserve"> </w:t>
      </w:r>
      <w:r w:rsidR="002B3239" w:rsidRPr="002B3239">
        <w:t>la R</w:t>
      </w:r>
      <w:r w:rsidR="002B3239">
        <w:t xml:space="preserve">adicalisation), </w:t>
      </w:r>
      <w:r w:rsidR="009730A8">
        <w:t>ou en subvention municipale</w:t>
      </w:r>
      <w:r>
        <w:t xml:space="preserve">. </w:t>
      </w:r>
    </w:p>
    <w:p w:rsidR="00ED51D1" w:rsidRDefault="00ED51D1" w:rsidP="009730A8">
      <w:pPr>
        <w:jc w:val="both"/>
      </w:pPr>
      <w:r>
        <w:t>Le projet ne doit pas :</w:t>
      </w:r>
    </w:p>
    <w:p w:rsidR="00ED51D1" w:rsidRDefault="000723B4" w:rsidP="009730A8">
      <w:pPr>
        <w:pStyle w:val="Paragraphedeliste"/>
        <w:numPr>
          <w:ilvl w:val="0"/>
          <w:numId w:val="2"/>
        </w:numPr>
        <w:jc w:val="both"/>
      </w:pPr>
      <w:r>
        <w:t>p</w:t>
      </w:r>
      <w:r w:rsidR="00ED51D1">
        <w:t>orter sur une a</w:t>
      </w:r>
      <w:r w:rsidR="00336869">
        <w:t>ction déjà réalisée ou en cours</w:t>
      </w:r>
    </w:p>
    <w:p w:rsidR="00ED51D1" w:rsidRDefault="000723B4" w:rsidP="009730A8">
      <w:pPr>
        <w:pStyle w:val="Paragraphedeliste"/>
        <w:numPr>
          <w:ilvl w:val="0"/>
          <w:numId w:val="2"/>
        </w:numPr>
        <w:jc w:val="both"/>
      </w:pPr>
      <w:r>
        <w:t>f</w:t>
      </w:r>
      <w:r w:rsidR="00ED51D1">
        <w:t>aire mention d’un caractère politique ou religieux</w:t>
      </w:r>
    </w:p>
    <w:p w:rsidR="00ED51D1" w:rsidRDefault="00BE5B54" w:rsidP="009730A8">
      <w:pPr>
        <w:pStyle w:val="Paragraphedeliste"/>
        <w:numPr>
          <w:ilvl w:val="0"/>
          <w:numId w:val="2"/>
        </w:numPr>
        <w:jc w:val="both"/>
      </w:pPr>
      <w:r>
        <w:t>inclure des dépenses</w:t>
      </w:r>
      <w:r w:rsidR="00ED51D1">
        <w:t xml:space="preserve"> d’investissement</w:t>
      </w:r>
      <w:r w:rsidR="008C75DB">
        <w:t>, hors les dé</w:t>
      </w:r>
      <w:r w:rsidR="00D86BF0">
        <w:t>penses liées à l’achat de petit matériel</w:t>
      </w:r>
      <w:r w:rsidR="008C75DB">
        <w:t xml:space="preserve"> nécessa</w:t>
      </w:r>
      <w:r w:rsidR="00336869">
        <w:t>ires au bon déroulé de l’action</w:t>
      </w:r>
    </w:p>
    <w:p w:rsidR="00ED51D1" w:rsidRDefault="000723B4" w:rsidP="009730A8">
      <w:pPr>
        <w:pStyle w:val="Paragraphedeliste"/>
        <w:numPr>
          <w:ilvl w:val="0"/>
          <w:numId w:val="2"/>
        </w:numPr>
        <w:jc w:val="both"/>
      </w:pPr>
      <w:r>
        <w:t>c</w:t>
      </w:r>
      <w:r w:rsidR="00A75E58">
        <w:t xml:space="preserve">omporter des dépenses de frais de restaurant ou de </w:t>
      </w:r>
      <w:r w:rsidR="00336869">
        <w:t>boissons alcoolisées</w:t>
      </w:r>
    </w:p>
    <w:p w:rsidR="006E53BD" w:rsidRDefault="000723B4" w:rsidP="009730A8">
      <w:pPr>
        <w:pStyle w:val="Paragraphedeliste"/>
        <w:numPr>
          <w:ilvl w:val="0"/>
          <w:numId w:val="2"/>
        </w:numPr>
        <w:jc w:val="both"/>
      </w:pPr>
      <w:r>
        <w:t>e</w:t>
      </w:r>
      <w:r w:rsidR="002B3239">
        <w:t>ntrer dans les</w:t>
      </w:r>
      <w:r w:rsidR="00191D26">
        <w:t xml:space="preserve"> compétence</w:t>
      </w:r>
      <w:r w:rsidR="002B3239">
        <w:t>s</w:t>
      </w:r>
      <w:r w:rsidR="00191D26">
        <w:t xml:space="preserve"> légale</w:t>
      </w:r>
      <w:r w:rsidR="002B3239">
        <w:t xml:space="preserve">s obligatoires </w:t>
      </w:r>
      <w:r w:rsidR="00191D26">
        <w:t xml:space="preserve"> d’un autre organisme public</w:t>
      </w:r>
      <w:r w:rsidR="002B3239">
        <w:t xml:space="preserve"> (Éducation N</w:t>
      </w:r>
      <w:r w:rsidR="00345E90">
        <w:t>ationale (</w:t>
      </w:r>
      <w:r w:rsidR="002B3239">
        <w:t>sur les temps scolaires</w:t>
      </w:r>
      <w:r w:rsidR="00D86BF0">
        <w:t>)</w:t>
      </w:r>
      <w:r w:rsidR="002B3239">
        <w:t xml:space="preserve">, </w:t>
      </w:r>
      <w:r w:rsidR="00100CDE">
        <w:t>Police, Bailleurs sociaux, etc.</w:t>
      </w:r>
      <w:r w:rsidR="002B3239">
        <w:t>)</w:t>
      </w:r>
    </w:p>
    <w:p w:rsidR="009730A8" w:rsidRDefault="000723B4" w:rsidP="009730A8">
      <w:pPr>
        <w:pStyle w:val="Paragraphedeliste"/>
        <w:numPr>
          <w:ilvl w:val="0"/>
          <w:numId w:val="2"/>
        </w:numPr>
        <w:jc w:val="both"/>
      </w:pPr>
      <w:r>
        <w:t>ê</w:t>
      </w:r>
      <w:r w:rsidR="009730A8">
        <w:t>tre sur 2 années, sauf sur demande de report en cas d’impossibilité de le réaliser</w:t>
      </w:r>
    </w:p>
    <w:p w:rsidR="00FC2212" w:rsidRPr="006869B1" w:rsidRDefault="00FC2212" w:rsidP="009730A8">
      <w:pPr>
        <w:jc w:val="both"/>
        <w:rPr>
          <w:b/>
          <w:sz w:val="24"/>
        </w:rPr>
      </w:pPr>
      <w:r w:rsidRPr="008572A1">
        <w:rPr>
          <w:b/>
          <w:color w:val="365F91" w:themeColor="accent1" w:themeShade="BF"/>
          <w:sz w:val="24"/>
        </w:rPr>
        <w:t xml:space="preserve">Article </w:t>
      </w:r>
      <w:r w:rsidR="003B2998" w:rsidRPr="008572A1">
        <w:rPr>
          <w:b/>
          <w:color w:val="365F91" w:themeColor="accent1" w:themeShade="BF"/>
          <w:sz w:val="24"/>
        </w:rPr>
        <w:t>6</w:t>
      </w:r>
      <w:r w:rsidRPr="008572A1">
        <w:rPr>
          <w:b/>
          <w:color w:val="365F91" w:themeColor="accent1" w:themeShade="BF"/>
          <w:sz w:val="24"/>
        </w:rPr>
        <w:t>: Procédure</w:t>
      </w:r>
    </w:p>
    <w:p w:rsidR="00FC2212" w:rsidRDefault="00FC2212" w:rsidP="009730A8">
      <w:pPr>
        <w:jc w:val="both"/>
      </w:pPr>
      <w:r>
        <w:t xml:space="preserve">Le porteur de projet doit déposer son </w:t>
      </w:r>
      <w:r w:rsidRPr="009730A8">
        <w:rPr>
          <w:b/>
        </w:rPr>
        <w:t xml:space="preserve">dossier </w:t>
      </w:r>
      <w:r w:rsidR="009730A8" w:rsidRPr="009730A8">
        <w:rPr>
          <w:b/>
        </w:rPr>
        <w:t>complet à l’Unité vie associative,</w:t>
      </w:r>
      <w:r w:rsidR="009730A8">
        <w:t xml:space="preserve"> </w:t>
      </w:r>
      <w:r>
        <w:t xml:space="preserve">accompagné d’un courrier adressé à M. Le Maire. </w:t>
      </w:r>
    </w:p>
    <w:p w:rsidR="00FC2212" w:rsidRDefault="00FC2212" w:rsidP="009730A8">
      <w:pPr>
        <w:jc w:val="both"/>
      </w:pPr>
      <w:r>
        <w:t>Le dossier doit comporter :</w:t>
      </w:r>
    </w:p>
    <w:p w:rsidR="00FC2212" w:rsidRDefault="000723B4" w:rsidP="009730A8">
      <w:pPr>
        <w:pStyle w:val="Paragraphedeliste"/>
        <w:numPr>
          <w:ilvl w:val="0"/>
          <w:numId w:val="3"/>
        </w:numPr>
        <w:jc w:val="both"/>
      </w:pPr>
      <w:r>
        <w:t>l</w:t>
      </w:r>
      <w:r w:rsidR="00FC2212">
        <w:t>e formulaire de demande de subvention</w:t>
      </w:r>
      <w:r w:rsidR="00542451">
        <w:t>.</w:t>
      </w:r>
    </w:p>
    <w:p w:rsidR="009730A8" w:rsidRDefault="000723B4" w:rsidP="009730A8">
      <w:pPr>
        <w:pStyle w:val="Paragraphedeliste"/>
        <w:numPr>
          <w:ilvl w:val="0"/>
          <w:numId w:val="3"/>
        </w:numPr>
        <w:jc w:val="both"/>
      </w:pPr>
      <w:r>
        <w:t>l</w:t>
      </w:r>
      <w:r w:rsidR="009730A8">
        <w:t>e courrier au Maire</w:t>
      </w:r>
    </w:p>
    <w:p w:rsidR="00FC2212" w:rsidRDefault="000723B4" w:rsidP="009730A8">
      <w:pPr>
        <w:pStyle w:val="Paragraphedeliste"/>
        <w:numPr>
          <w:ilvl w:val="0"/>
          <w:numId w:val="3"/>
        </w:numPr>
        <w:jc w:val="both"/>
      </w:pPr>
      <w:r>
        <w:t>l</w:t>
      </w:r>
      <w:r w:rsidR="00FC2212">
        <w:t>e dossier administratif de l’association à jour si celui-ci n’a pas déjà été transmis dans le cadre</w:t>
      </w:r>
      <w:r w:rsidR="00D93D8F">
        <w:t xml:space="preserve"> d’une autre procédure de subvention municipale la même année. </w:t>
      </w:r>
    </w:p>
    <w:p w:rsidR="002B3239" w:rsidRDefault="000723B4" w:rsidP="00D86BF0">
      <w:pPr>
        <w:pStyle w:val="Paragraphedeliste"/>
        <w:numPr>
          <w:ilvl w:val="0"/>
          <w:numId w:val="3"/>
        </w:numPr>
        <w:jc w:val="both"/>
      </w:pPr>
      <w:r>
        <w:t>u</w:t>
      </w:r>
      <w:r w:rsidR="00D93D8F">
        <w:t>n RIB</w:t>
      </w:r>
    </w:p>
    <w:p w:rsidR="00076AE8" w:rsidRPr="00D86BF0" w:rsidRDefault="002B3239" w:rsidP="00D86BF0">
      <w:pPr>
        <w:jc w:val="both"/>
        <w:rPr>
          <w:b/>
        </w:rPr>
      </w:pPr>
      <w:r w:rsidRPr="00D86BF0">
        <w:rPr>
          <w:b/>
        </w:rPr>
        <w:t>Pour les associations non répertoriées par le Service Vie Associative de Saint-Ouen, le dossier administratif de l’association devra également être annexé au projet (les statuts, une copie du JO et le budget prévisionnel de l’association)</w:t>
      </w:r>
    </w:p>
    <w:p w:rsidR="00076AE8" w:rsidRPr="000723B4" w:rsidRDefault="00076AE8" w:rsidP="002B3239">
      <w:pPr>
        <w:pStyle w:val="Paragraphedeliste"/>
        <w:jc w:val="both"/>
        <w:rPr>
          <w:b/>
          <w:color w:val="365F91" w:themeColor="accent1" w:themeShade="BF"/>
          <w:sz w:val="26"/>
          <w:szCs w:val="26"/>
        </w:rPr>
      </w:pPr>
      <w:r w:rsidRPr="000723B4">
        <w:rPr>
          <w:b/>
          <w:color w:val="365F91" w:themeColor="accent1" w:themeShade="BF"/>
          <w:sz w:val="26"/>
          <w:szCs w:val="26"/>
        </w:rPr>
        <w:t>Les dossiers incomplets ou hors délais ne seront pas instruits</w:t>
      </w:r>
    </w:p>
    <w:p w:rsidR="002B3239" w:rsidRDefault="00D93D8F" w:rsidP="009730A8">
      <w:pPr>
        <w:jc w:val="both"/>
      </w:pPr>
      <w:r w:rsidRPr="002B3239">
        <w:rPr>
          <w:b/>
        </w:rPr>
        <w:t>La décision du comité de ges</w:t>
      </w:r>
      <w:r w:rsidR="009730A8" w:rsidRPr="002B3239">
        <w:rPr>
          <w:b/>
        </w:rPr>
        <w:t xml:space="preserve">tion </w:t>
      </w:r>
      <w:r w:rsidRPr="002B3239">
        <w:rPr>
          <w:b/>
        </w:rPr>
        <w:t xml:space="preserve">sera notifiée par courrier au porteur de projet dans un délai de </w:t>
      </w:r>
      <w:r w:rsidR="009730A8" w:rsidRPr="002B3239">
        <w:rPr>
          <w:b/>
        </w:rPr>
        <w:t xml:space="preserve">1 mois </w:t>
      </w:r>
      <w:r w:rsidRPr="002B3239">
        <w:rPr>
          <w:b/>
        </w:rPr>
        <w:t>à compter de la date de la réunion du comité de gestion</w:t>
      </w:r>
      <w:r>
        <w:t xml:space="preserve">. </w:t>
      </w:r>
    </w:p>
    <w:p w:rsidR="00D93D8F" w:rsidRPr="006869B1" w:rsidRDefault="00D93D8F" w:rsidP="009730A8">
      <w:pPr>
        <w:jc w:val="both"/>
        <w:rPr>
          <w:b/>
          <w:sz w:val="24"/>
        </w:rPr>
      </w:pPr>
      <w:r w:rsidRPr="008572A1">
        <w:rPr>
          <w:b/>
          <w:color w:val="365F91" w:themeColor="accent1" w:themeShade="BF"/>
          <w:sz w:val="24"/>
        </w:rPr>
        <w:lastRenderedPageBreak/>
        <w:t xml:space="preserve">Article </w:t>
      </w:r>
      <w:r w:rsidR="003B2998" w:rsidRPr="008572A1">
        <w:rPr>
          <w:b/>
          <w:color w:val="365F91" w:themeColor="accent1" w:themeShade="BF"/>
          <w:sz w:val="24"/>
        </w:rPr>
        <w:t>7 </w:t>
      </w:r>
      <w:r w:rsidRPr="008572A1">
        <w:rPr>
          <w:b/>
          <w:color w:val="365F91" w:themeColor="accent1" w:themeShade="BF"/>
          <w:sz w:val="24"/>
        </w:rPr>
        <w:t>: Modalités de versement du financement</w:t>
      </w:r>
    </w:p>
    <w:p w:rsidR="00D93D8F" w:rsidRDefault="00D93D8F" w:rsidP="009730A8">
      <w:pPr>
        <w:jc w:val="both"/>
      </w:pPr>
      <w:r>
        <w:t>La subvention est versée par la ville de Saint-Ouen</w:t>
      </w:r>
      <w:r w:rsidR="009730A8">
        <w:t>-sur-Seine</w:t>
      </w:r>
      <w:r>
        <w:t xml:space="preserve"> dès lors que le comité de gestion aura validé le projet et que le dossier aura été </w:t>
      </w:r>
      <w:r w:rsidR="00A8289E">
        <w:t xml:space="preserve">voté </w:t>
      </w:r>
      <w:r>
        <w:t xml:space="preserve">en conseil municipal. </w:t>
      </w:r>
    </w:p>
    <w:p w:rsidR="00076AE8" w:rsidRPr="00D86BF0" w:rsidRDefault="00D93D8F" w:rsidP="009730A8">
      <w:pPr>
        <w:jc w:val="both"/>
        <w:rPr>
          <w:b/>
          <w:color w:val="365F91" w:themeColor="accent1" w:themeShade="BF"/>
          <w:sz w:val="24"/>
        </w:rPr>
      </w:pPr>
      <w:r w:rsidRPr="008572A1">
        <w:rPr>
          <w:b/>
          <w:color w:val="365F91" w:themeColor="accent1" w:themeShade="BF"/>
          <w:sz w:val="24"/>
        </w:rPr>
        <w:t xml:space="preserve">Article </w:t>
      </w:r>
      <w:r w:rsidR="003B2998" w:rsidRPr="008572A1">
        <w:rPr>
          <w:b/>
          <w:color w:val="365F91" w:themeColor="accent1" w:themeShade="BF"/>
          <w:sz w:val="24"/>
        </w:rPr>
        <w:t>8 </w:t>
      </w:r>
      <w:r w:rsidRPr="008572A1">
        <w:rPr>
          <w:b/>
          <w:color w:val="365F91" w:themeColor="accent1" w:themeShade="BF"/>
          <w:sz w:val="24"/>
        </w:rPr>
        <w:t xml:space="preserve">: </w:t>
      </w:r>
      <w:r w:rsidR="00076AE8">
        <w:rPr>
          <w:b/>
          <w:color w:val="365F91" w:themeColor="accent1" w:themeShade="BF"/>
          <w:sz w:val="24"/>
        </w:rPr>
        <w:t>Modalités de contrôle</w:t>
      </w:r>
    </w:p>
    <w:p w:rsidR="00076AE8" w:rsidRPr="00076AE8" w:rsidRDefault="00076AE8" w:rsidP="009730A8">
      <w:pPr>
        <w:jc w:val="both"/>
        <w:rPr>
          <w:b/>
          <w:sz w:val="24"/>
        </w:rPr>
      </w:pPr>
      <w:r w:rsidRPr="00076AE8">
        <w:rPr>
          <w:b/>
          <w:sz w:val="24"/>
        </w:rPr>
        <w:t>Les porteurs de projet</w:t>
      </w:r>
      <w:r>
        <w:rPr>
          <w:b/>
          <w:sz w:val="24"/>
        </w:rPr>
        <w:t xml:space="preserve"> doivent impérativement tenir informés</w:t>
      </w:r>
      <w:r w:rsidR="00100CDE">
        <w:rPr>
          <w:b/>
          <w:sz w:val="24"/>
        </w:rPr>
        <w:t xml:space="preserve"> </w:t>
      </w:r>
      <w:r>
        <w:rPr>
          <w:b/>
          <w:sz w:val="24"/>
        </w:rPr>
        <w:t>les membres du comité de sélection de la réalisation des projets soutenus pas le FIA.</w:t>
      </w:r>
    </w:p>
    <w:p w:rsidR="00D93D8F" w:rsidRPr="00892AF1" w:rsidRDefault="00D93D8F" w:rsidP="009730A8">
      <w:pPr>
        <w:jc w:val="both"/>
        <w:rPr>
          <w:u w:val="single"/>
        </w:rPr>
      </w:pPr>
      <w:r w:rsidRPr="00892AF1">
        <w:rPr>
          <w:u w:val="single"/>
        </w:rPr>
        <w:t xml:space="preserve">Le porteur </w:t>
      </w:r>
      <w:r w:rsidR="008C07ED">
        <w:rPr>
          <w:u w:val="single"/>
        </w:rPr>
        <w:t>s’engage</w:t>
      </w:r>
      <w:r w:rsidRPr="00892AF1">
        <w:rPr>
          <w:u w:val="single"/>
        </w:rPr>
        <w:t xml:space="preserve"> à produire un bilan écrit dans le mois suivant le déroulé de l’action. </w:t>
      </w:r>
      <w:r w:rsidR="008C75DB" w:rsidRPr="00892AF1">
        <w:rPr>
          <w:u w:val="single"/>
        </w:rPr>
        <w:t>Il doit</w:t>
      </w:r>
      <w:r w:rsidR="008C07ED">
        <w:rPr>
          <w:u w:val="single"/>
        </w:rPr>
        <w:t xml:space="preserve"> en outre</w:t>
      </w:r>
      <w:r w:rsidR="008C75DB" w:rsidRPr="00892AF1">
        <w:rPr>
          <w:u w:val="single"/>
        </w:rPr>
        <w:t xml:space="preserve"> fournir les pièces justif</w:t>
      </w:r>
      <w:r w:rsidR="008C07ED">
        <w:rPr>
          <w:u w:val="single"/>
        </w:rPr>
        <w:t>icatives des dépenses (factures, etc.)</w:t>
      </w:r>
    </w:p>
    <w:p w:rsidR="00D93D8F" w:rsidRDefault="00D93D8F" w:rsidP="009730A8">
      <w:pPr>
        <w:jc w:val="both"/>
      </w:pPr>
      <w:r>
        <w:t xml:space="preserve">En cas de non réalisation de l’action, le porteur s’engage à reverser </w:t>
      </w:r>
      <w:r w:rsidR="008C07ED">
        <w:t>l’</w:t>
      </w:r>
      <w:r w:rsidR="00BE5B54">
        <w:t xml:space="preserve">intégralité </w:t>
      </w:r>
      <w:r>
        <w:t xml:space="preserve">de </w:t>
      </w:r>
      <w:r w:rsidR="008C07ED">
        <w:t>la subvention au Trésor P</w:t>
      </w:r>
      <w:r w:rsidR="009730A8">
        <w:t>ublic ou à faire une demande de report.</w:t>
      </w:r>
    </w:p>
    <w:p w:rsidR="00D93D8F" w:rsidRDefault="00D93D8F" w:rsidP="009730A8">
      <w:pPr>
        <w:jc w:val="both"/>
      </w:pPr>
      <w:r>
        <w:t xml:space="preserve">En cas de réalisation partielle de l’action, le comité de gestion statuera sur les modalités de reversement de la subvention. </w:t>
      </w:r>
      <w:r w:rsidR="008C75DB">
        <w:t xml:space="preserve">Un report d’une partie du déroulé de l’action pourra être accordé </w:t>
      </w:r>
      <w:r w:rsidR="00BE5B54">
        <w:t xml:space="preserve">à titre exceptionnel  et </w:t>
      </w:r>
      <w:r w:rsidR="008C75DB">
        <w:t xml:space="preserve">sous réserve de justification. </w:t>
      </w:r>
    </w:p>
    <w:p w:rsidR="00345E90" w:rsidRDefault="00924535" w:rsidP="009730A8">
      <w:pPr>
        <w:jc w:val="both"/>
      </w:pPr>
      <w:r>
        <w:t>Le porteur s’engage à indiquer dans sa communication que son projet es</w:t>
      </w:r>
      <w:r w:rsidR="00D86BF0">
        <w:t>t soutenu par le FIA et devra me</w:t>
      </w:r>
      <w:r>
        <w:t>ntion</w:t>
      </w:r>
      <w:r w:rsidR="00626F4E">
        <w:t xml:space="preserve">ner les logos de la </w:t>
      </w:r>
      <w:r w:rsidR="00014C56">
        <w:t>V</w:t>
      </w:r>
      <w:r w:rsidR="00626F4E">
        <w:t>ille et de l’</w:t>
      </w:r>
      <w:r w:rsidR="008C07ED">
        <w:rPr>
          <w:rFonts w:cstheme="minorHAnsi"/>
        </w:rPr>
        <w:t>É</w:t>
      </w:r>
      <w:r w:rsidR="00626F4E">
        <w:t>tat.</w:t>
      </w:r>
    </w:p>
    <w:p w:rsidR="00207528" w:rsidRDefault="00345E90" w:rsidP="00345E90">
      <w:pPr>
        <w:jc w:val="both"/>
        <w:rPr>
          <w:b/>
          <w:color w:val="365F91" w:themeColor="accent1" w:themeShade="BF"/>
          <w:sz w:val="24"/>
        </w:rPr>
      </w:pPr>
      <w:r w:rsidRPr="008572A1">
        <w:rPr>
          <w:b/>
          <w:color w:val="365F91" w:themeColor="accent1" w:themeShade="BF"/>
          <w:sz w:val="24"/>
        </w:rPr>
        <w:t xml:space="preserve">Article 8 : </w:t>
      </w:r>
      <w:r w:rsidR="008C07ED">
        <w:rPr>
          <w:rFonts w:cstheme="minorHAnsi"/>
          <w:b/>
          <w:color w:val="365F91" w:themeColor="accent1" w:themeShade="BF"/>
          <w:sz w:val="24"/>
        </w:rPr>
        <w:t>À</w:t>
      </w:r>
      <w:r>
        <w:rPr>
          <w:b/>
          <w:color w:val="365F91" w:themeColor="accent1" w:themeShade="BF"/>
          <w:sz w:val="24"/>
        </w:rPr>
        <w:t xml:space="preserve"> titre informel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528" w:rsidTr="00207528">
        <w:trPr>
          <w:trHeight w:val="3348"/>
        </w:trPr>
        <w:tc>
          <w:tcPr>
            <w:tcW w:w="9212" w:type="dxa"/>
          </w:tcPr>
          <w:p w:rsidR="00207528" w:rsidRDefault="00207528" w:rsidP="00207528">
            <w:pPr>
              <w:jc w:val="both"/>
              <w:rPr>
                <w:sz w:val="24"/>
              </w:rPr>
            </w:pPr>
          </w:p>
          <w:p w:rsidR="00207528" w:rsidRDefault="00207528" w:rsidP="00207528">
            <w:pPr>
              <w:jc w:val="both"/>
              <w:rPr>
                <w:sz w:val="24"/>
              </w:rPr>
            </w:pPr>
          </w:p>
          <w:p w:rsidR="00207528" w:rsidRDefault="00207528" w:rsidP="00207528">
            <w:pPr>
              <w:jc w:val="center"/>
              <w:rPr>
                <w:sz w:val="24"/>
              </w:rPr>
            </w:pPr>
            <w:r w:rsidRPr="00345E90">
              <w:rPr>
                <w:sz w:val="24"/>
              </w:rPr>
              <w:t>Pour tout renseignement concernant la subvention FIA :</w:t>
            </w:r>
          </w:p>
          <w:p w:rsidR="00207528" w:rsidRDefault="00035A25" w:rsidP="00207528">
            <w:pPr>
              <w:jc w:val="center"/>
              <w:rPr>
                <w:sz w:val="24"/>
              </w:rPr>
            </w:pPr>
            <w:hyperlink r:id="rId10" w:history="1">
              <w:r w:rsidR="008C07ED" w:rsidRPr="00123E23">
                <w:rPr>
                  <w:rStyle w:val="Lienhypertexte"/>
                  <w:sz w:val="24"/>
                </w:rPr>
                <w:t>vie.associative@mairie-saint-ouen.fr</w:t>
              </w:r>
            </w:hyperlink>
          </w:p>
          <w:p w:rsidR="00207528" w:rsidRDefault="00207528" w:rsidP="00207528">
            <w:pPr>
              <w:jc w:val="center"/>
              <w:rPr>
                <w:b/>
                <w:color w:val="365F91" w:themeColor="accent1" w:themeShade="BF"/>
                <w:sz w:val="24"/>
              </w:rPr>
            </w:pPr>
          </w:p>
          <w:p w:rsidR="00207528" w:rsidRDefault="00207528" w:rsidP="00207528">
            <w:pPr>
              <w:jc w:val="center"/>
              <w:rPr>
                <w:b/>
                <w:color w:val="365F91" w:themeColor="accent1" w:themeShade="BF"/>
                <w:sz w:val="24"/>
              </w:rPr>
            </w:pPr>
          </w:p>
          <w:p w:rsidR="00207528" w:rsidRDefault="00207528" w:rsidP="002075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Pour</w:t>
            </w:r>
            <w:r w:rsidR="008C07ED">
              <w:rPr>
                <w:sz w:val="24"/>
              </w:rPr>
              <w:t xml:space="preserve"> un accompagnement personnalisé</w:t>
            </w:r>
            <w:r>
              <w:rPr>
                <w:sz w:val="24"/>
              </w:rPr>
              <w:t xml:space="preserve"> ou toute autre demande autour du FIA :</w:t>
            </w:r>
          </w:p>
          <w:p w:rsidR="00207528" w:rsidRDefault="00207528" w:rsidP="002075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Référente : Aliénor Turpin</w:t>
            </w:r>
          </w:p>
          <w:p w:rsidR="00207528" w:rsidRDefault="00035A25" w:rsidP="00207528">
            <w:pPr>
              <w:jc w:val="center"/>
              <w:rPr>
                <w:sz w:val="24"/>
              </w:rPr>
            </w:pPr>
            <w:hyperlink r:id="rId11" w:history="1">
              <w:r w:rsidR="00207528" w:rsidRPr="00372771">
                <w:rPr>
                  <w:rStyle w:val="Lienhypertexte"/>
                  <w:sz w:val="24"/>
                </w:rPr>
                <w:t>aturpin@mairie-saint-ouen.fr</w:t>
              </w:r>
            </w:hyperlink>
          </w:p>
          <w:p w:rsidR="00207528" w:rsidRPr="00345E90" w:rsidRDefault="00207528" w:rsidP="002075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01.49.45. 67.53</w:t>
            </w:r>
          </w:p>
          <w:p w:rsidR="00207528" w:rsidRDefault="00207528" w:rsidP="00345E90">
            <w:pPr>
              <w:jc w:val="both"/>
              <w:rPr>
                <w:b/>
                <w:color w:val="365F91" w:themeColor="accent1" w:themeShade="BF"/>
                <w:sz w:val="24"/>
              </w:rPr>
            </w:pPr>
          </w:p>
        </w:tc>
      </w:tr>
    </w:tbl>
    <w:p w:rsidR="00345E90" w:rsidRDefault="00345E90" w:rsidP="009730A8">
      <w:pPr>
        <w:jc w:val="both"/>
      </w:pPr>
    </w:p>
    <w:sectPr w:rsidR="00345E90" w:rsidSect="00251001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A25" w:rsidRDefault="00035A25" w:rsidP="00D30561">
      <w:pPr>
        <w:spacing w:after="0" w:line="240" w:lineRule="auto"/>
      </w:pPr>
      <w:r>
        <w:separator/>
      </w:r>
    </w:p>
  </w:endnote>
  <w:endnote w:type="continuationSeparator" w:id="0">
    <w:p w:rsidR="00035A25" w:rsidRDefault="00035A25" w:rsidP="00D3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694504"/>
      <w:docPartObj>
        <w:docPartGallery w:val="Page Numbers (Bottom of Page)"/>
        <w:docPartUnique/>
      </w:docPartObj>
    </w:sdtPr>
    <w:sdtEndPr/>
    <w:sdtContent>
      <w:p w:rsidR="00D30561" w:rsidRDefault="00D3056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8F">
          <w:rPr>
            <w:noProof/>
          </w:rPr>
          <w:t>4</w:t>
        </w:r>
        <w:r>
          <w:fldChar w:fldCharType="end"/>
        </w:r>
      </w:p>
    </w:sdtContent>
  </w:sdt>
  <w:p w:rsidR="00D30561" w:rsidRDefault="00D3056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A25" w:rsidRDefault="00035A25" w:rsidP="00D30561">
      <w:pPr>
        <w:spacing w:after="0" w:line="240" w:lineRule="auto"/>
      </w:pPr>
      <w:r>
        <w:separator/>
      </w:r>
    </w:p>
  </w:footnote>
  <w:footnote w:type="continuationSeparator" w:id="0">
    <w:p w:rsidR="00035A25" w:rsidRDefault="00035A25" w:rsidP="00D3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0F4"/>
    <w:multiLevelType w:val="hybridMultilevel"/>
    <w:tmpl w:val="229AC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7C49"/>
    <w:multiLevelType w:val="hybridMultilevel"/>
    <w:tmpl w:val="C2BC59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4B43"/>
    <w:multiLevelType w:val="hybridMultilevel"/>
    <w:tmpl w:val="FE9C5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D1744"/>
    <w:multiLevelType w:val="hybridMultilevel"/>
    <w:tmpl w:val="77A8E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5799"/>
    <w:multiLevelType w:val="hybridMultilevel"/>
    <w:tmpl w:val="BB649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01040"/>
    <w:multiLevelType w:val="hybridMultilevel"/>
    <w:tmpl w:val="3B720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BD"/>
    <w:rsid w:val="00014C56"/>
    <w:rsid w:val="00035A25"/>
    <w:rsid w:val="000723B4"/>
    <w:rsid w:val="00076AE8"/>
    <w:rsid w:val="000A3D94"/>
    <w:rsid w:val="00100CDE"/>
    <w:rsid w:val="00113187"/>
    <w:rsid w:val="00152245"/>
    <w:rsid w:val="00165521"/>
    <w:rsid w:val="00170D8F"/>
    <w:rsid w:val="00191D26"/>
    <w:rsid w:val="0020678F"/>
    <w:rsid w:val="00207528"/>
    <w:rsid w:val="00251001"/>
    <w:rsid w:val="00267950"/>
    <w:rsid w:val="002B3239"/>
    <w:rsid w:val="002C4BF8"/>
    <w:rsid w:val="00336869"/>
    <w:rsid w:val="003408CE"/>
    <w:rsid w:val="00345E90"/>
    <w:rsid w:val="003B2998"/>
    <w:rsid w:val="003E54B8"/>
    <w:rsid w:val="00420521"/>
    <w:rsid w:val="00430015"/>
    <w:rsid w:val="0043448B"/>
    <w:rsid w:val="00464F34"/>
    <w:rsid w:val="004B36D4"/>
    <w:rsid w:val="00506DF1"/>
    <w:rsid w:val="00542451"/>
    <w:rsid w:val="00557179"/>
    <w:rsid w:val="00593D5B"/>
    <w:rsid w:val="00616DB9"/>
    <w:rsid w:val="00626F4E"/>
    <w:rsid w:val="0064034E"/>
    <w:rsid w:val="006869B1"/>
    <w:rsid w:val="006D3936"/>
    <w:rsid w:val="006E53BD"/>
    <w:rsid w:val="007037BE"/>
    <w:rsid w:val="00715CFE"/>
    <w:rsid w:val="0072132A"/>
    <w:rsid w:val="00764EA0"/>
    <w:rsid w:val="0077353E"/>
    <w:rsid w:val="0077465A"/>
    <w:rsid w:val="007775EB"/>
    <w:rsid w:val="007C59F4"/>
    <w:rsid w:val="007D0ADE"/>
    <w:rsid w:val="008572A1"/>
    <w:rsid w:val="00881291"/>
    <w:rsid w:val="00892AF1"/>
    <w:rsid w:val="008C07ED"/>
    <w:rsid w:val="008C20A5"/>
    <w:rsid w:val="008C75DB"/>
    <w:rsid w:val="009138CB"/>
    <w:rsid w:val="00924535"/>
    <w:rsid w:val="00954C23"/>
    <w:rsid w:val="00971DFB"/>
    <w:rsid w:val="009730A8"/>
    <w:rsid w:val="00973579"/>
    <w:rsid w:val="009E7CEF"/>
    <w:rsid w:val="00A15355"/>
    <w:rsid w:val="00A53689"/>
    <w:rsid w:val="00A75E58"/>
    <w:rsid w:val="00A8289E"/>
    <w:rsid w:val="00AC63A2"/>
    <w:rsid w:val="00B30CDF"/>
    <w:rsid w:val="00B4769F"/>
    <w:rsid w:val="00BB1797"/>
    <w:rsid w:val="00BE5B54"/>
    <w:rsid w:val="00C20DAC"/>
    <w:rsid w:val="00C716DD"/>
    <w:rsid w:val="00C80A29"/>
    <w:rsid w:val="00CA030F"/>
    <w:rsid w:val="00D109D5"/>
    <w:rsid w:val="00D30561"/>
    <w:rsid w:val="00D37853"/>
    <w:rsid w:val="00D57DAE"/>
    <w:rsid w:val="00D77E1D"/>
    <w:rsid w:val="00D86BF0"/>
    <w:rsid w:val="00D93D8F"/>
    <w:rsid w:val="00E158A6"/>
    <w:rsid w:val="00ED51D1"/>
    <w:rsid w:val="00F1141E"/>
    <w:rsid w:val="00FC2212"/>
    <w:rsid w:val="00FD03F7"/>
    <w:rsid w:val="00FE0073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A59ED-76A4-44D8-B825-4D1D8B09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53B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E5B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5B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5B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B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B5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B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3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561"/>
  </w:style>
  <w:style w:type="paragraph" w:styleId="Pieddepage">
    <w:name w:val="footer"/>
    <w:basedOn w:val="Normal"/>
    <w:link w:val="PieddepageCar"/>
    <w:uiPriority w:val="99"/>
    <w:unhideWhenUsed/>
    <w:rsid w:val="00D3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561"/>
  </w:style>
  <w:style w:type="character" w:styleId="Lienhypertexte">
    <w:name w:val="Hyperlink"/>
    <w:basedOn w:val="Policepardfaut"/>
    <w:uiPriority w:val="99"/>
    <w:unhideWhenUsed/>
    <w:rsid w:val="00345E9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0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urpin@mairie-saint-ouen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e.associative@mairie-saint-oue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7475-D9AF-40C6-98D2-8422ECED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Saint-Ouen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carhen07</dc:creator>
  <cp:lastModifiedBy>Aliénor TURPIN</cp:lastModifiedBy>
  <cp:revision>3</cp:revision>
  <cp:lastPrinted>2015-09-09T15:14:00Z</cp:lastPrinted>
  <dcterms:created xsi:type="dcterms:W3CDTF">2023-02-22T13:25:00Z</dcterms:created>
  <dcterms:modified xsi:type="dcterms:W3CDTF">2023-02-22T14:48:00Z</dcterms:modified>
</cp:coreProperties>
</file>